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AA" w:rsidRPr="000C2310" w:rsidRDefault="00C63DB1">
      <w:pPr>
        <w:spacing w:after="240"/>
        <w:jc w:val="center"/>
        <w:rPr>
          <w:rFonts w:ascii="Arial" w:hAnsi="Arial" w:cs="Arial"/>
          <w:b/>
          <w:i/>
          <w:sz w:val="24"/>
          <w:szCs w:val="24"/>
          <w:u w:val="single"/>
          <w:lang w:val="hu-HU"/>
        </w:rPr>
      </w:pPr>
      <w:bookmarkStart w:id="0" w:name="_GoBack"/>
      <w:bookmarkEnd w:id="0"/>
      <w:r w:rsidRPr="000C2310">
        <w:rPr>
          <w:rFonts w:ascii="Arial" w:hAnsi="Arial" w:cs="Arial"/>
          <w:b/>
          <w:i/>
          <w:sz w:val="24"/>
          <w:szCs w:val="24"/>
          <w:u w:val="single"/>
          <w:lang w:val="hu-HU"/>
        </w:rPr>
        <w:t>Tájékoztató víziközmű-fejlesztési hozzájárulás fizetési kötelezettségről</w:t>
      </w:r>
    </w:p>
    <w:p w:rsidR="000C2310" w:rsidRDefault="000C2310">
      <w:pPr>
        <w:jc w:val="both"/>
        <w:rPr>
          <w:rFonts w:ascii="Arial" w:hAnsi="Arial" w:cs="Arial"/>
          <w:b/>
          <w:sz w:val="22"/>
          <w:szCs w:val="22"/>
          <w:lang w:val="hu-HU"/>
        </w:rPr>
      </w:pPr>
    </w:p>
    <w:p w:rsidR="004B22AA" w:rsidRPr="000C2310" w:rsidRDefault="00C63DB1">
      <w:pPr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0C2310">
        <w:rPr>
          <w:rFonts w:ascii="Arial" w:hAnsi="Arial" w:cs="Arial"/>
          <w:b/>
          <w:sz w:val="22"/>
          <w:szCs w:val="22"/>
          <w:lang w:val="hu-HU"/>
        </w:rPr>
        <w:t>Rendelkező jogszabályok:</w:t>
      </w:r>
    </w:p>
    <w:p w:rsidR="004B22AA" w:rsidRPr="000C2310" w:rsidRDefault="00C63DB1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  <w:lang w:val="hu-HU"/>
        </w:rPr>
      </w:pPr>
      <w:r w:rsidRPr="000C2310">
        <w:rPr>
          <w:rFonts w:ascii="Arial" w:hAnsi="Arial" w:cs="Arial"/>
          <w:b/>
          <w:sz w:val="22"/>
          <w:szCs w:val="22"/>
          <w:lang w:val="hu-HU"/>
        </w:rPr>
        <w:t>A 2011. évi CCIX. törvény</w:t>
      </w:r>
      <w:r w:rsidRPr="000C2310">
        <w:rPr>
          <w:rFonts w:ascii="Arial" w:hAnsi="Arial" w:cs="Arial"/>
          <w:sz w:val="22"/>
          <w:szCs w:val="22"/>
          <w:lang w:val="hu-HU"/>
        </w:rPr>
        <w:t xml:space="preserve"> </w:t>
      </w:r>
      <w:r w:rsidRPr="000C2310">
        <w:rPr>
          <w:rFonts w:ascii="Arial" w:hAnsi="Arial" w:cs="Arial"/>
          <w:i/>
          <w:sz w:val="22"/>
          <w:szCs w:val="22"/>
          <w:lang w:val="hu-HU"/>
        </w:rPr>
        <w:t>a víziközmű-szolgáltatásról (továbbiakban: Törvény)</w:t>
      </w:r>
    </w:p>
    <w:p w:rsidR="000C2310" w:rsidRPr="000C2310" w:rsidRDefault="00C63DB1" w:rsidP="000C231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b/>
          <w:sz w:val="22"/>
          <w:szCs w:val="22"/>
          <w:lang w:val="hu-HU"/>
        </w:rPr>
        <w:t>Az 58/2013. (II.27.)  Korm. rendelet</w:t>
      </w:r>
      <w:r w:rsidRPr="000C2310">
        <w:rPr>
          <w:rFonts w:ascii="Arial" w:hAnsi="Arial" w:cs="Arial"/>
          <w:sz w:val="22"/>
          <w:szCs w:val="22"/>
          <w:lang w:val="hu-HU"/>
        </w:rPr>
        <w:t xml:space="preserve"> </w:t>
      </w:r>
      <w:r w:rsidRPr="000C2310">
        <w:rPr>
          <w:rFonts w:ascii="Arial" w:hAnsi="Arial" w:cs="Arial"/>
          <w:i/>
          <w:sz w:val="22"/>
          <w:szCs w:val="22"/>
          <w:lang w:val="hu-HU"/>
        </w:rPr>
        <w:t>a víziközmű-szolgáltatásról szóló 2011. évi CCIX. törvény egyes rendelkezéseinek végrehajtásáról.</w:t>
      </w:r>
    </w:p>
    <w:p w:rsidR="004B22AA" w:rsidRPr="000C2310" w:rsidRDefault="00C63DB1">
      <w:pPr>
        <w:spacing w:before="240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0C2310">
        <w:rPr>
          <w:rFonts w:ascii="Arial" w:hAnsi="Arial" w:cs="Arial"/>
          <w:b/>
          <w:sz w:val="22"/>
          <w:szCs w:val="22"/>
          <w:lang w:val="hu-HU"/>
        </w:rPr>
        <w:t>Kinek kell víziközmű-fejlesztési hozzájárulást fizetnie?</w:t>
      </w:r>
    </w:p>
    <w:p w:rsidR="004B22AA" w:rsidRPr="000C2310" w:rsidRDefault="00C63DB1">
      <w:pPr>
        <w:pStyle w:val="NormlWeb"/>
        <w:spacing w:after="0"/>
        <w:ind w:firstLine="0"/>
        <w:rPr>
          <w:rFonts w:ascii="Arial" w:hAnsi="Arial" w:cs="Arial"/>
          <w:sz w:val="22"/>
          <w:szCs w:val="22"/>
        </w:rPr>
      </w:pPr>
      <w:r w:rsidRPr="000C2310">
        <w:rPr>
          <w:rFonts w:ascii="Arial" w:hAnsi="Arial" w:cs="Arial"/>
          <w:sz w:val="22"/>
          <w:szCs w:val="22"/>
        </w:rPr>
        <w:t xml:space="preserve">A Törvény 69. § (1) bekezdése értelmében a nem lakossági felhasználónak a víziközmű-szolgáltató részére víziközmű-fejlesztési hozzájárulást kell fizetnie a felhasználási helyen biztosítandó szolgáltatási kapacitásért, vagy annak bővítéséért. A nem lakossági felhasználó az adott felhasználási helyen a víziközmű-fejlesztési hozzájárulás megfizetésével a megvásárolt közműfejlesztési kvóta erejéig válik jogosulttá a szolgáltatás igénybevételére (Törvény 71.§ (1) bekezdés).  </w:t>
      </w:r>
    </w:p>
    <w:p w:rsidR="004B22AA" w:rsidRPr="000C2310" w:rsidRDefault="00C63DB1">
      <w:pPr>
        <w:pStyle w:val="NormlWeb"/>
        <w:spacing w:after="0"/>
        <w:ind w:firstLine="0"/>
        <w:rPr>
          <w:rFonts w:ascii="Arial" w:hAnsi="Arial" w:cs="Arial"/>
          <w:sz w:val="22"/>
          <w:szCs w:val="22"/>
        </w:rPr>
      </w:pPr>
      <w:r w:rsidRPr="000C2310">
        <w:rPr>
          <w:rFonts w:ascii="Arial" w:hAnsi="Arial" w:cs="Arial"/>
          <w:sz w:val="22"/>
          <w:szCs w:val="22"/>
        </w:rPr>
        <w:t>A víziközmű-fejlesztési hozzájárulás megfizetése a víziközmű-hálózatba történő bekötés valamint a mellékszolgáltatási szerződés létrejöttének feltétele is.</w:t>
      </w:r>
    </w:p>
    <w:p w:rsidR="004B22AA" w:rsidRPr="000C2310" w:rsidRDefault="00C63DB1">
      <w:pPr>
        <w:pStyle w:val="NormlWeb"/>
        <w:spacing w:after="0"/>
        <w:ind w:firstLine="0"/>
        <w:rPr>
          <w:rFonts w:ascii="Arial" w:hAnsi="Arial" w:cs="Arial"/>
          <w:sz w:val="22"/>
          <w:szCs w:val="22"/>
        </w:rPr>
      </w:pPr>
      <w:r w:rsidRPr="000C2310">
        <w:rPr>
          <w:rFonts w:ascii="Arial" w:hAnsi="Arial" w:cs="Arial"/>
          <w:sz w:val="22"/>
          <w:szCs w:val="22"/>
        </w:rPr>
        <w:t>Azon felhasználási helyen ahol ugyan az ingatlan tulajdonosa lakossági felhasználó, de az igénybevéte</w:t>
      </w:r>
      <w:r w:rsidR="00406B92" w:rsidRPr="000C2310">
        <w:rPr>
          <w:rFonts w:ascii="Arial" w:hAnsi="Arial" w:cs="Arial"/>
          <w:sz w:val="22"/>
          <w:szCs w:val="22"/>
        </w:rPr>
        <w:t>l</w:t>
      </w:r>
      <w:r w:rsidRPr="000C2310">
        <w:rPr>
          <w:rFonts w:ascii="Arial" w:hAnsi="Arial" w:cs="Arial"/>
          <w:sz w:val="22"/>
          <w:szCs w:val="22"/>
        </w:rPr>
        <w:t xml:space="preserve"> </w:t>
      </w:r>
      <w:r w:rsidR="0059594A" w:rsidRPr="000C2310">
        <w:rPr>
          <w:rFonts w:ascii="Arial" w:hAnsi="Arial" w:cs="Arial"/>
          <w:sz w:val="22"/>
          <w:szCs w:val="22"/>
        </w:rPr>
        <w:t xml:space="preserve">vállalkozói </w:t>
      </w:r>
      <w:r w:rsidRPr="000C2310">
        <w:rPr>
          <w:rFonts w:ascii="Arial" w:hAnsi="Arial" w:cs="Arial"/>
          <w:sz w:val="22"/>
          <w:szCs w:val="22"/>
        </w:rPr>
        <w:t>tevékenység</w:t>
      </w:r>
      <w:r w:rsidR="00406B92" w:rsidRPr="000C2310">
        <w:rPr>
          <w:rFonts w:ascii="Arial" w:hAnsi="Arial" w:cs="Arial"/>
          <w:sz w:val="22"/>
          <w:szCs w:val="22"/>
        </w:rPr>
        <w:t xml:space="preserve"> keretében</w:t>
      </w:r>
      <w:r w:rsidRPr="000C2310">
        <w:rPr>
          <w:rFonts w:ascii="Arial" w:hAnsi="Arial" w:cs="Arial"/>
          <w:sz w:val="22"/>
          <w:szCs w:val="22"/>
        </w:rPr>
        <w:t xml:space="preserve"> </w:t>
      </w:r>
      <w:r w:rsidR="0059594A" w:rsidRPr="000C2310">
        <w:rPr>
          <w:rFonts w:ascii="Arial" w:hAnsi="Arial" w:cs="Arial"/>
          <w:sz w:val="22"/>
          <w:szCs w:val="22"/>
        </w:rPr>
        <w:t xml:space="preserve">történik </w:t>
      </w:r>
      <w:r w:rsidRPr="000C2310">
        <w:rPr>
          <w:rFonts w:ascii="Arial" w:hAnsi="Arial" w:cs="Arial"/>
          <w:sz w:val="22"/>
          <w:szCs w:val="22"/>
        </w:rPr>
        <w:t>(</w:t>
      </w:r>
      <w:proofErr w:type="spellStart"/>
      <w:r w:rsidRPr="000C2310">
        <w:rPr>
          <w:rFonts w:ascii="Arial" w:hAnsi="Arial" w:cs="Arial"/>
          <w:sz w:val="22"/>
          <w:szCs w:val="22"/>
        </w:rPr>
        <w:t>pl</w:t>
      </w:r>
      <w:proofErr w:type="spellEnd"/>
      <w:r w:rsidRPr="000C2310">
        <w:rPr>
          <w:rFonts w:ascii="Arial" w:hAnsi="Arial" w:cs="Arial"/>
          <w:sz w:val="22"/>
          <w:szCs w:val="22"/>
        </w:rPr>
        <w:t>: garázs üzlet</w:t>
      </w:r>
      <w:r w:rsidR="00406B92" w:rsidRPr="000C2310">
        <w:rPr>
          <w:rFonts w:ascii="Arial" w:hAnsi="Arial" w:cs="Arial"/>
          <w:sz w:val="22"/>
          <w:szCs w:val="22"/>
        </w:rPr>
        <w:t>i célú hasznosítása</w:t>
      </w:r>
      <w:r w:rsidRPr="000C2310">
        <w:rPr>
          <w:rFonts w:ascii="Arial" w:hAnsi="Arial" w:cs="Arial"/>
          <w:sz w:val="22"/>
          <w:szCs w:val="22"/>
        </w:rPr>
        <w:t>), vagy az ingatlan nyilvántartás szerint nem lakás célú az ingatlan, ott víziközmű-fejlesztési hozzájárulás fizetendő.</w:t>
      </w:r>
    </w:p>
    <w:p w:rsidR="004B22AA" w:rsidRPr="000C2310" w:rsidRDefault="00C63DB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4B22AA" w:rsidRPr="000C2310" w:rsidRDefault="00C63DB1">
      <w:pPr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0C2310">
        <w:rPr>
          <w:rFonts w:ascii="Arial" w:hAnsi="Arial" w:cs="Arial"/>
          <w:b/>
          <w:sz w:val="22"/>
          <w:szCs w:val="22"/>
          <w:lang w:val="hu-HU"/>
        </w:rPr>
        <w:t>Kinek nem kell víziközmű-fejlesztési hozzájárulást fizetnie?</w:t>
      </w:r>
    </w:p>
    <w:p w:rsidR="004B22AA" w:rsidRPr="000C2310" w:rsidRDefault="00C63DB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>Központi költségvetési szervnek és intézményének, a helyi önkormányzatnak és annak költségvetési intézményének, valamint normatív állami támogatásban részesülő közfeladato</w:t>
      </w:r>
      <w:r w:rsidR="009E1E44" w:rsidRPr="000C2310">
        <w:rPr>
          <w:rFonts w:ascii="Arial" w:hAnsi="Arial" w:cs="Arial"/>
          <w:sz w:val="22"/>
          <w:szCs w:val="22"/>
          <w:lang w:val="hu-HU"/>
        </w:rPr>
        <w:t xml:space="preserve">t ellátó, nem nyereség- </w:t>
      </w:r>
      <w:r w:rsidRPr="000C2310">
        <w:rPr>
          <w:rFonts w:ascii="Arial" w:hAnsi="Arial" w:cs="Arial"/>
          <w:sz w:val="22"/>
          <w:szCs w:val="22"/>
          <w:lang w:val="hu-HU"/>
        </w:rPr>
        <w:t xml:space="preserve">és vagyonszerzési célt szolgáló egyéb intézménynek. </w:t>
      </w:r>
    </w:p>
    <w:p w:rsidR="004B22AA" w:rsidRPr="000C2310" w:rsidRDefault="004A5864">
      <w:p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>Nem kell továbbá fizetnie azon nem lakossági felhasználónak víziközmű-fejlesztési hozzájárulást, aki új bekötést létesít és a</w:t>
      </w:r>
      <w:r w:rsidR="0059594A" w:rsidRPr="000C2310">
        <w:rPr>
          <w:rFonts w:ascii="Arial" w:hAnsi="Arial" w:cs="Arial"/>
          <w:sz w:val="22"/>
          <w:szCs w:val="22"/>
          <w:lang w:val="hu-HU"/>
        </w:rPr>
        <w:t>z</w:t>
      </w:r>
      <w:r w:rsidRPr="000C2310">
        <w:rPr>
          <w:rFonts w:ascii="Arial" w:hAnsi="Arial" w:cs="Arial"/>
          <w:sz w:val="22"/>
          <w:szCs w:val="22"/>
          <w:lang w:val="hu-HU"/>
        </w:rPr>
        <w:t xml:space="preserve"> </w:t>
      </w:r>
      <w:r w:rsidR="0059594A" w:rsidRPr="000C2310">
        <w:rPr>
          <w:rFonts w:ascii="Arial" w:hAnsi="Arial" w:cs="Arial"/>
          <w:sz w:val="22"/>
          <w:szCs w:val="22"/>
          <w:lang w:val="hu-HU"/>
        </w:rPr>
        <w:t>új</w:t>
      </w:r>
      <w:r w:rsidRPr="000C2310">
        <w:rPr>
          <w:rFonts w:ascii="Arial" w:hAnsi="Arial" w:cs="Arial"/>
          <w:sz w:val="22"/>
          <w:szCs w:val="22"/>
          <w:lang w:val="hu-HU"/>
        </w:rPr>
        <w:t xml:space="preserve"> lakásokat (nem üzlethelyiségeket) továbbértékesíti. A fenti esetek igazolása az igénybejelentő kötelezettsége.</w:t>
      </w:r>
    </w:p>
    <w:p w:rsidR="004B22AA" w:rsidRPr="000C2310" w:rsidRDefault="00C63DB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>A Törvény 55/H. §. (1) bekezdése szerint mentes a víziközmű-fejlesztési hozzájárulás megfizetése alól rácsatlakozáskor a legfeljebb 32 mm átmérőjű ivóvízvezeték és a legfeljebb 160 mm átmérőjű szennyvízvezeték bekötése</w:t>
      </w:r>
      <w:r w:rsidR="0059594A" w:rsidRPr="000C2310">
        <w:rPr>
          <w:rFonts w:ascii="Arial" w:hAnsi="Arial" w:cs="Arial"/>
          <w:sz w:val="22"/>
          <w:szCs w:val="22"/>
          <w:lang w:val="hu-HU"/>
        </w:rPr>
        <w:t xml:space="preserve">. </w:t>
      </w:r>
      <w:r w:rsidRPr="000C2310">
        <w:rPr>
          <w:rFonts w:ascii="Arial" w:hAnsi="Arial" w:cs="Arial"/>
          <w:sz w:val="22"/>
          <w:szCs w:val="22"/>
          <w:lang w:val="hu-HU"/>
        </w:rPr>
        <w:t>A mentesség esetében a kvótát továbbra is igényelnie kell a felhasználónak, illetve azt megállapodásban kell rögzíteni, azonban a fizetendő hozzájárulás összege 0 Ft lesz.</w:t>
      </w:r>
    </w:p>
    <w:p w:rsidR="004B22AA" w:rsidRPr="000C2310" w:rsidRDefault="004B22AA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4B22AA" w:rsidRPr="000C2310" w:rsidRDefault="00C63DB1">
      <w:pPr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0C2310">
        <w:rPr>
          <w:rFonts w:ascii="Arial" w:hAnsi="Arial" w:cs="Arial"/>
          <w:b/>
          <w:sz w:val="22"/>
          <w:szCs w:val="22"/>
          <w:lang w:val="hu-HU"/>
        </w:rPr>
        <w:t>Mi az a közműfejlesztési kvóta, (kontingens, keret, vagy jogosultság)?</w:t>
      </w:r>
    </w:p>
    <w:p w:rsidR="004B22AA" w:rsidRPr="000C2310" w:rsidRDefault="00C63DB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>Víziközmű-szolgáltatásba bekapcsolt, vagy bekapcsolni kívánt ingatlanhoz a víziközmű-szolgáltató által a közműfejlesztési hozzájárulás fizetésére kötelezett részére biztosított, vagy biztosítandó kapacitás, amelynek mértékegysége: m</w:t>
      </w:r>
      <w:r w:rsidRPr="000C2310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  <w:r w:rsidRPr="000C2310">
        <w:rPr>
          <w:rFonts w:ascii="Arial" w:hAnsi="Arial" w:cs="Arial"/>
          <w:sz w:val="22"/>
          <w:szCs w:val="22"/>
          <w:lang w:val="hu-HU"/>
        </w:rPr>
        <w:t>/nap.</w:t>
      </w:r>
    </w:p>
    <w:p w:rsidR="004B22AA" w:rsidRPr="000C2310" w:rsidRDefault="00C63DB1">
      <w:pPr>
        <w:spacing w:after="240"/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>Víziközmű-fejlesztés: vízi</w:t>
      </w:r>
      <w:r w:rsidR="000C2310">
        <w:rPr>
          <w:rFonts w:ascii="Arial" w:hAnsi="Arial" w:cs="Arial"/>
          <w:sz w:val="22"/>
          <w:szCs w:val="22"/>
          <w:lang w:val="hu-HU"/>
        </w:rPr>
        <w:t>-</w:t>
      </w:r>
      <w:r w:rsidRPr="000C2310">
        <w:rPr>
          <w:rFonts w:ascii="Arial" w:hAnsi="Arial" w:cs="Arial"/>
          <w:sz w:val="22"/>
          <w:szCs w:val="22"/>
          <w:lang w:val="hu-HU"/>
        </w:rPr>
        <w:t>közműre irányuló olyan beruházási vagy felújítási tevékenység, mely célja szerint új vízi</w:t>
      </w:r>
      <w:r w:rsidR="000C2310">
        <w:rPr>
          <w:rFonts w:ascii="Arial" w:hAnsi="Arial" w:cs="Arial"/>
          <w:sz w:val="22"/>
          <w:szCs w:val="22"/>
          <w:lang w:val="hu-HU"/>
        </w:rPr>
        <w:t>-</w:t>
      </w:r>
      <w:r w:rsidRPr="000C2310">
        <w:rPr>
          <w:rFonts w:ascii="Arial" w:hAnsi="Arial" w:cs="Arial"/>
          <w:sz w:val="22"/>
          <w:szCs w:val="22"/>
          <w:lang w:val="hu-HU"/>
        </w:rPr>
        <w:t>közmű létesítését, a meglévő vízi</w:t>
      </w:r>
      <w:r w:rsidR="000C2310">
        <w:rPr>
          <w:rFonts w:ascii="Arial" w:hAnsi="Arial" w:cs="Arial"/>
          <w:sz w:val="22"/>
          <w:szCs w:val="22"/>
          <w:lang w:val="hu-HU"/>
        </w:rPr>
        <w:t>-</w:t>
      </w:r>
      <w:r w:rsidRPr="000C2310">
        <w:rPr>
          <w:rFonts w:ascii="Arial" w:hAnsi="Arial" w:cs="Arial"/>
          <w:sz w:val="22"/>
          <w:szCs w:val="22"/>
          <w:lang w:val="hu-HU"/>
        </w:rPr>
        <w:t>közmű bővítését, rekonstrukcióját és pótlását is magába foglalhatja.</w:t>
      </w:r>
    </w:p>
    <w:p w:rsidR="004B22AA" w:rsidRPr="000C2310" w:rsidRDefault="00C63DB1">
      <w:pPr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0C2310">
        <w:rPr>
          <w:rFonts w:ascii="Arial" w:hAnsi="Arial" w:cs="Arial"/>
          <w:b/>
          <w:sz w:val="22"/>
          <w:szCs w:val="22"/>
          <w:lang w:val="hu-HU"/>
        </w:rPr>
        <w:t>Kinek a feladata meghatározni a szükséges kapacitás, kvóta mennyiségét?</w:t>
      </w:r>
    </w:p>
    <w:p w:rsidR="004B22AA" w:rsidRPr="000C2310" w:rsidRDefault="00C63DB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>A Korm. rendelet 90. §. (5) bekezdése: „</w:t>
      </w:r>
      <w:proofErr w:type="gramStart"/>
      <w:r w:rsidRPr="000C2310">
        <w:rPr>
          <w:rFonts w:ascii="Arial" w:hAnsi="Arial" w:cs="Arial"/>
          <w:sz w:val="22"/>
          <w:szCs w:val="22"/>
          <w:lang w:val="hu-HU"/>
        </w:rPr>
        <w:t>A</w:t>
      </w:r>
      <w:proofErr w:type="gramEnd"/>
      <w:r w:rsidRPr="000C2310">
        <w:rPr>
          <w:rFonts w:ascii="Arial" w:hAnsi="Arial" w:cs="Arial"/>
          <w:sz w:val="22"/>
          <w:szCs w:val="22"/>
          <w:lang w:val="hu-HU"/>
        </w:rPr>
        <w:t xml:space="preserve"> víziközmű-szolgáltató megállapítja a szolgáltatási kapacitást (kvótát vagy kontingenst), amely alapján a víziközmű-fejlesztési hozzájárulás megfizetésre kerül. A hozzájárulás megfizetését követően válik jogosulttá a felhasználó a szolgáltatás igénybevételére.”</w:t>
      </w:r>
    </w:p>
    <w:p w:rsidR="004B22AA" w:rsidRPr="000C2310" w:rsidRDefault="00C63DB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>Az ivóvízellátást és szennyvízelvezetést igénylő használó, vagy annak megbízottja (tervező) feladata meghatározni az igénybe venni kívánt vízigény kapacitás mértékét m</w:t>
      </w:r>
      <w:r w:rsidRPr="000C2310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  <w:r w:rsidRPr="000C2310">
        <w:rPr>
          <w:rFonts w:ascii="Arial" w:hAnsi="Arial" w:cs="Arial"/>
          <w:sz w:val="22"/>
          <w:szCs w:val="22"/>
          <w:lang w:val="hu-HU"/>
        </w:rPr>
        <w:t>/</w:t>
      </w:r>
      <w:proofErr w:type="spellStart"/>
      <w:r w:rsidRPr="000C2310">
        <w:rPr>
          <w:rFonts w:ascii="Arial" w:hAnsi="Arial" w:cs="Arial"/>
          <w:sz w:val="22"/>
          <w:szCs w:val="22"/>
          <w:lang w:val="hu-HU"/>
        </w:rPr>
        <w:t>nap-ban</w:t>
      </w:r>
      <w:proofErr w:type="spellEnd"/>
      <w:r w:rsidRPr="000C2310">
        <w:rPr>
          <w:rFonts w:ascii="Arial" w:hAnsi="Arial" w:cs="Arial"/>
          <w:sz w:val="22"/>
          <w:szCs w:val="22"/>
          <w:lang w:val="hu-HU"/>
        </w:rPr>
        <w:t>. Az igényelt kapacitás, kvóta legkisebb igényelhető és megállapítható mértéke 0,1 m</w:t>
      </w:r>
      <w:r w:rsidRPr="000C2310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  <w:r w:rsidRPr="000C2310">
        <w:rPr>
          <w:rFonts w:ascii="Arial" w:hAnsi="Arial" w:cs="Arial"/>
          <w:sz w:val="22"/>
          <w:szCs w:val="22"/>
          <w:lang w:val="hu-HU"/>
        </w:rPr>
        <w:t>/nap (100 l/nap) és ugyanezzel a léptékkel növelve á</w:t>
      </w:r>
      <w:r w:rsidR="000C2310">
        <w:rPr>
          <w:rFonts w:ascii="Arial" w:hAnsi="Arial" w:cs="Arial"/>
          <w:sz w:val="22"/>
          <w:szCs w:val="22"/>
          <w:lang w:val="hu-HU"/>
        </w:rPr>
        <w:t>llapítható meg minden esetben ti</w:t>
      </w:r>
      <w:r w:rsidRPr="000C2310">
        <w:rPr>
          <w:rFonts w:ascii="Arial" w:hAnsi="Arial" w:cs="Arial"/>
          <w:sz w:val="22"/>
          <w:szCs w:val="22"/>
          <w:lang w:val="hu-HU"/>
        </w:rPr>
        <w:t xml:space="preserve">zedes jegy pontossággal kerekítve. </w:t>
      </w:r>
    </w:p>
    <w:p w:rsidR="004B22AA" w:rsidRPr="000C2310" w:rsidRDefault="00C63DB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>Új bekötés létesítése esetén a 2011. évi CCIX. törvény egyes rendelkezéseinek végrehajtásáról kiadott 58/2013. (II.27.) Korm. rendelet 5. sz. melléklete szerinti tervdokumentáció csatolása szükséges, melynek kötelező tartalmi eleme a vízigények, szennyvízkibocsátások napi mennyiségének meghatározása. Ilyen esetben a terv szerinti mennyiség megadása szükséges. A felhasználói jelleg „nem lakossági” jellegre történő változása esetén valamint a kapacitás bővítés esetén is szükséges a kvóta meghatározása. Ebben az esetben az igénylő arra alkalmas napi vízigény számítás kalkuláció alapján nyilatkozatban kéri a kvóta mennyiség meghatározását.</w:t>
      </w:r>
    </w:p>
    <w:p w:rsidR="000C2310" w:rsidRDefault="000C2310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0C2310" w:rsidRDefault="00C63DB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 xml:space="preserve">Amennyiben ipari jellegű technológiai vagy termékbe beépülő vízhasználat nem történik, és a dolgozók, illetve ezen túlmenően ügyfél/vendég </w:t>
      </w:r>
      <w:proofErr w:type="gramStart"/>
      <w:r w:rsidRPr="000C2310">
        <w:rPr>
          <w:rFonts w:ascii="Arial" w:hAnsi="Arial" w:cs="Arial"/>
          <w:sz w:val="22"/>
          <w:szCs w:val="22"/>
          <w:lang w:val="hu-HU"/>
        </w:rPr>
        <w:t>forgalom jellemző</w:t>
      </w:r>
      <w:proofErr w:type="gramEnd"/>
      <w:r w:rsidRPr="000C2310">
        <w:rPr>
          <w:rFonts w:ascii="Arial" w:hAnsi="Arial" w:cs="Arial"/>
          <w:sz w:val="22"/>
          <w:szCs w:val="22"/>
          <w:lang w:val="hu-HU"/>
        </w:rPr>
        <w:t>, úgy az alábbi segédlet alkalmazása javasolt.</w:t>
      </w:r>
    </w:p>
    <w:p w:rsidR="000C2310" w:rsidRPr="000C2310" w:rsidRDefault="000C2310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4B22AA" w:rsidRPr="000C2310" w:rsidRDefault="004B22AA">
      <w:pPr>
        <w:jc w:val="both"/>
        <w:rPr>
          <w:rFonts w:ascii="Arial" w:hAnsi="Arial" w:cs="Arial"/>
          <w:sz w:val="22"/>
          <w:szCs w:val="22"/>
          <w:lang w:val="hu-HU"/>
        </w:rPr>
      </w:pPr>
    </w:p>
    <w:tbl>
      <w:tblPr>
        <w:tblStyle w:val="Rcsostblzat"/>
        <w:tblW w:w="0" w:type="auto"/>
        <w:tblInd w:w="646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F22E3" w:rsidRPr="000C2310" w:rsidTr="007E3570">
        <w:tc>
          <w:tcPr>
            <w:tcW w:w="3070" w:type="dxa"/>
            <w:vAlign w:val="center"/>
          </w:tcPr>
          <w:p w:rsidR="004B22AA" w:rsidRPr="000C2310" w:rsidRDefault="00C63DB1" w:rsidP="007E3570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hu-HU"/>
              </w:rPr>
            </w:pPr>
            <w:r w:rsidRPr="000C2310">
              <w:rPr>
                <w:rFonts w:ascii="Arial" w:hAnsi="Arial" w:cs="Arial"/>
                <w:sz w:val="22"/>
                <w:szCs w:val="22"/>
                <w:lang w:val="hu-HU"/>
              </w:rPr>
              <w:lastRenderedPageBreak/>
              <w:t>F</w:t>
            </w:r>
            <w:r w:rsidR="00DB6B0B" w:rsidRPr="000C2310">
              <w:rPr>
                <w:rFonts w:ascii="Arial" w:hAnsi="Arial" w:cs="Arial"/>
                <w:sz w:val="22"/>
                <w:szCs w:val="22"/>
                <w:lang w:val="hu-HU"/>
              </w:rPr>
              <w:t>e</w:t>
            </w:r>
            <w:r w:rsidRPr="000C2310">
              <w:rPr>
                <w:rFonts w:ascii="Arial" w:hAnsi="Arial" w:cs="Arial"/>
                <w:sz w:val="22"/>
                <w:szCs w:val="22"/>
                <w:lang w:val="hu-HU"/>
              </w:rPr>
              <w:t>lhasználási hely hasznos alapterülete, m</w:t>
            </w:r>
            <w:r w:rsidRPr="000C2310">
              <w:rPr>
                <w:rFonts w:ascii="Arial" w:hAnsi="Arial" w:cs="Arial"/>
                <w:sz w:val="22"/>
                <w:szCs w:val="22"/>
                <w:vertAlign w:val="superscript"/>
                <w:lang w:val="hu-HU"/>
              </w:rPr>
              <w:t>2</w:t>
            </w:r>
          </w:p>
        </w:tc>
        <w:tc>
          <w:tcPr>
            <w:tcW w:w="3071" w:type="dxa"/>
            <w:vAlign w:val="center"/>
          </w:tcPr>
          <w:p w:rsidR="004B22AA" w:rsidRPr="000C2310" w:rsidRDefault="00C63DB1" w:rsidP="007E3570">
            <w:pPr>
              <w:jc w:val="center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0C2310">
              <w:rPr>
                <w:rFonts w:ascii="Arial" w:hAnsi="Arial" w:cs="Arial"/>
                <w:sz w:val="22"/>
                <w:szCs w:val="22"/>
                <w:lang w:val="hu-HU"/>
              </w:rPr>
              <w:t>Munkavállalói illetve ügyfél/vendég szám fő/nap</w:t>
            </w:r>
          </w:p>
        </w:tc>
        <w:tc>
          <w:tcPr>
            <w:tcW w:w="3071" w:type="dxa"/>
            <w:vAlign w:val="center"/>
          </w:tcPr>
          <w:p w:rsidR="004B22AA" w:rsidRPr="000C2310" w:rsidRDefault="00C63DB1" w:rsidP="007E3570">
            <w:pPr>
              <w:jc w:val="center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0C2310">
              <w:rPr>
                <w:rFonts w:ascii="Arial" w:hAnsi="Arial" w:cs="Arial"/>
                <w:sz w:val="22"/>
                <w:szCs w:val="22"/>
                <w:lang w:val="hu-HU"/>
              </w:rPr>
              <w:t>Javasolt napi vízigény</w:t>
            </w:r>
          </w:p>
          <w:p w:rsidR="004B22AA" w:rsidRPr="000C2310" w:rsidRDefault="00C63DB1" w:rsidP="007E3570">
            <w:pPr>
              <w:jc w:val="center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0C2310">
              <w:rPr>
                <w:rFonts w:ascii="Arial" w:hAnsi="Arial" w:cs="Arial"/>
                <w:sz w:val="22"/>
                <w:szCs w:val="22"/>
                <w:lang w:val="hu-HU"/>
              </w:rPr>
              <w:t>m</w:t>
            </w:r>
            <w:r w:rsidRPr="000C2310">
              <w:rPr>
                <w:rFonts w:ascii="Arial" w:hAnsi="Arial" w:cs="Arial"/>
                <w:sz w:val="22"/>
                <w:szCs w:val="22"/>
                <w:vertAlign w:val="superscript"/>
                <w:lang w:val="hu-HU"/>
              </w:rPr>
              <w:t>3</w:t>
            </w:r>
            <w:r w:rsidRPr="000C2310">
              <w:rPr>
                <w:rFonts w:ascii="Arial" w:hAnsi="Arial" w:cs="Arial"/>
                <w:sz w:val="22"/>
                <w:szCs w:val="22"/>
                <w:lang w:val="hu-HU"/>
              </w:rPr>
              <w:t>/nap</w:t>
            </w:r>
          </w:p>
        </w:tc>
      </w:tr>
      <w:tr w:rsidR="007F22E3" w:rsidRPr="000C2310" w:rsidTr="007E3570">
        <w:tc>
          <w:tcPr>
            <w:tcW w:w="3070" w:type="dxa"/>
            <w:vAlign w:val="center"/>
          </w:tcPr>
          <w:p w:rsidR="004B22AA" w:rsidRPr="000C2310" w:rsidRDefault="00C63DB1" w:rsidP="007E3570">
            <w:pPr>
              <w:jc w:val="center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0C2310">
              <w:rPr>
                <w:rFonts w:ascii="Arial" w:hAnsi="Arial" w:cs="Arial"/>
                <w:sz w:val="22"/>
                <w:szCs w:val="22"/>
                <w:lang w:val="hu-HU"/>
              </w:rPr>
              <w:t>0 - 100</w:t>
            </w:r>
          </w:p>
        </w:tc>
        <w:tc>
          <w:tcPr>
            <w:tcW w:w="3071" w:type="dxa"/>
            <w:vAlign w:val="center"/>
          </w:tcPr>
          <w:p w:rsidR="004B22AA" w:rsidRPr="000C2310" w:rsidRDefault="00C63DB1" w:rsidP="007E3570">
            <w:pPr>
              <w:jc w:val="center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0C2310">
              <w:rPr>
                <w:rFonts w:ascii="Arial" w:hAnsi="Arial" w:cs="Arial"/>
                <w:sz w:val="22"/>
                <w:szCs w:val="22"/>
                <w:lang w:val="hu-HU"/>
              </w:rPr>
              <w:t>0 - 3</w:t>
            </w:r>
          </w:p>
        </w:tc>
        <w:tc>
          <w:tcPr>
            <w:tcW w:w="3071" w:type="dxa"/>
            <w:vAlign w:val="center"/>
          </w:tcPr>
          <w:p w:rsidR="004B22AA" w:rsidRPr="000C2310" w:rsidRDefault="00C63DB1" w:rsidP="007E3570">
            <w:pPr>
              <w:jc w:val="center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0C2310">
              <w:rPr>
                <w:rFonts w:ascii="Arial" w:hAnsi="Arial" w:cs="Arial"/>
                <w:sz w:val="22"/>
                <w:szCs w:val="22"/>
                <w:lang w:val="hu-HU"/>
              </w:rPr>
              <w:t>0,1</w:t>
            </w:r>
          </w:p>
        </w:tc>
      </w:tr>
      <w:tr w:rsidR="007F22E3" w:rsidRPr="000C2310" w:rsidTr="007E3570">
        <w:tc>
          <w:tcPr>
            <w:tcW w:w="3070" w:type="dxa"/>
            <w:vAlign w:val="center"/>
          </w:tcPr>
          <w:p w:rsidR="004B22AA" w:rsidRPr="000C2310" w:rsidRDefault="00C63DB1" w:rsidP="007E3570">
            <w:pPr>
              <w:jc w:val="center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0C2310">
              <w:rPr>
                <w:rFonts w:ascii="Arial" w:hAnsi="Arial" w:cs="Arial"/>
                <w:sz w:val="22"/>
                <w:szCs w:val="22"/>
                <w:lang w:val="hu-HU"/>
              </w:rPr>
              <w:t>101 - 200</w:t>
            </w:r>
          </w:p>
        </w:tc>
        <w:tc>
          <w:tcPr>
            <w:tcW w:w="3071" w:type="dxa"/>
            <w:vAlign w:val="center"/>
          </w:tcPr>
          <w:p w:rsidR="004B22AA" w:rsidRPr="000C2310" w:rsidRDefault="00C63DB1" w:rsidP="007E3570">
            <w:pPr>
              <w:jc w:val="center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0C2310">
              <w:rPr>
                <w:rFonts w:ascii="Arial" w:hAnsi="Arial" w:cs="Arial"/>
                <w:sz w:val="22"/>
                <w:szCs w:val="22"/>
                <w:lang w:val="hu-HU"/>
              </w:rPr>
              <w:t>3 - 6</w:t>
            </w:r>
          </w:p>
        </w:tc>
        <w:tc>
          <w:tcPr>
            <w:tcW w:w="3071" w:type="dxa"/>
            <w:vAlign w:val="center"/>
          </w:tcPr>
          <w:p w:rsidR="004B22AA" w:rsidRPr="000C2310" w:rsidRDefault="00C63DB1" w:rsidP="007E3570">
            <w:pPr>
              <w:jc w:val="center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0C2310">
              <w:rPr>
                <w:rFonts w:ascii="Arial" w:hAnsi="Arial" w:cs="Arial"/>
                <w:sz w:val="22"/>
                <w:szCs w:val="22"/>
                <w:lang w:val="hu-HU"/>
              </w:rPr>
              <w:t>0,2</w:t>
            </w:r>
          </w:p>
        </w:tc>
      </w:tr>
      <w:tr w:rsidR="007F22E3" w:rsidRPr="000C2310" w:rsidTr="007E3570">
        <w:tc>
          <w:tcPr>
            <w:tcW w:w="3070" w:type="dxa"/>
            <w:vAlign w:val="center"/>
          </w:tcPr>
          <w:p w:rsidR="004B22AA" w:rsidRPr="000C2310" w:rsidRDefault="00C63DB1" w:rsidP="007E3570">
            <w:pPr>
              <w:jc w:val="center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0C2310">
              <w:rPr>
                <w:rFonts w:ascii="Arial" w:hAnsi="Arial" w:cs="Arial"/>
                <w:sz w:val="22"/>
                <w:szCs w:val="22"/>
                <w:lang w:val="hu-HU"/>
              </w:rPr>
              <w:t>201 -</w:t>
            </w:r>
          </w:p>
        </w:tc>
        <w:tc>
          <w:tcPr>
            <w:tcW w:w="3071" w:type="dxa"/>
            <w:vAlign w:val="center"/>
          </w:tcPr>
          <w:p w:rsidR="004B22AA" w:rsidRPr="000C2310" w:rsidRDefault="00C63DB1" w:rsidP="007E3570">
            <w:pPr>
              <w:jc w:val="center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0C2310">
              <w:rPr>
                <w:rFonts w:ascii="Arial" w:hAnsi="Arial" w:cs="Arial"/>
                <w:sz w:val="22"/>
                <w:szCs w:val="22"/>
                <w:lang w:val="hu-HU"/>
              </w:rPr>
              <w:t>6 fő felett</w:t>
            </w:r>
          </w:p>
        </w:tc>
        <w:tc>
          <w:tcPr>
            <w:tcW w:w="3071" w:type="dxa"/>
            <w:vAlign w:val="center"/>
          </w:tcPr>
          <w:p w:rsidR="004B22AA" w:rsidRPr="000C2310" w:rsidRDefault="00C63DB1" w:rsidP="007E3570">
            <w:pPr>
              <w:jc w:val="center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0C2310">
              <w:rPr>
                <w:rFonts w:ascii="Arial" w:hAnsi="Arial" w:cs="Arial"/>
                <w:sz w:val="22"/>
                <w:szCs w:val="22"/>
                <w:lang w:val="hu-HU"/>
              </w:rPr>
              <w:t>0,5 m</w:t>
            </w:r>
            <w:r w:rsidRPr="000C2310">
              <w:rPr>
                <w:rFonts w:ascii="Arial" w:hAnsi="Arial" w:cs="Arial"/>
                <w:sz w:val="22"/>
                <w:szCs w:val="22"/>
                <w:vertAlign w:val="superscript"/>
                <w:lang w:val="hu-HU"/>
              </w:rPr>
              <w:t>3</w:t>
            </w:r>
            <w:r w:rsidRPr="000C2310">
              <w:rPr>
                <w:rFonts w:ascii="Arial" w:hAnsi="Arial" w:cs="Arial"/>
                <w:sz w:val="22"/>
                <w:szCs w:val="22"/>
                <w:lang w:val="hu-HU"/>
              </w:rPr>
              <w:t>/nap x fő/nap képlettel számított érték</w:t>
            </w:r>
          </w:p>
        </w:tc>
      </w:tr>
    </w:tbl>
    <w:p w:rsidR="004B22AA" w:rsidRPr="000C2310" w:rsidRDefault="00C63DB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>A fenti segédlet alapján történő számítás eltérhet a felhasználási helyen végzett tevékenység miatt!</w:t>
      </w:r>
    </w:p>
    <w:p w:rsidR="004B22AA" w:rsidRPr="000C2310" w:rsidRDefault="00C63DB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 xml:space="preserve">Ipari jellegű technológiai vagy termékbe beépülő vízhasználat esetén a Debreceni Vízmű </w:t>
      </w:r>
      <w:proofErr w:type="spellStart"/>
      <w:r w:rsidRPr="000C2310">
        <w:rPr>
          <w:rFonts w:ascii="Arial" w:hAnsi="Arial" w:cs="Arial"/>
          <w:sz w:val="22"/>
          <w:szCs w:val="22"/>
          <w:lang w:val="hu-HU"/>
        </w:rPr>
        <w:t>Zrt</w:t>
      </w:r>
      <w:proofErr w:type="spellEnd"/>
      <w:r w:rsidRPr="000C2310">
        <w:rPr>
          <w:rFonts w:ascii="Arial" w:hAnsi="Arial" w:cs="Arial"/>
          <w:sz w:val="22"/>
          <w:szCs w:val="22"/>
          <w:lang w:val="hu-HU"/>
        </w:rPr>
        <w:t>. az igényelt kvóta mennyiség igazolására alkalmas műszaki, technológiai dokumentációt, tervező által meghatározott vízigény számítás csatolását kérheti</w:t>
      </w:r>
      <w:r w:rsidR="00AC4322" w:rsidRPr="000C2310">
        <w:rPr>
          <w:rFonts w:ascii="Arial" w:hAnsi="Arial" w:cs="Arial"/>
          <w:sz w:val="22"/>
          <w:szCs w:val="22"/>
          <w:lang w:val="hu-HU"/>
        </w:rPr>
        <w:t>,</w:t>
      </w:r>
      <w:r w:rsidRPr="000C2310">
        <w:rPr>
          <w:rFonts w:ascii="Arial" w:hAnsi="Arial" w:cs="Arial"/>
          <w:sz w:val="22"/>
          <w:szCs w:val="22"/>
          <w:lang w:val="hu-HU"/>
        </w:rPr>
        <w:t xml:space="preserve"> valamint helyszíni szemlét írhat elő. Ebben az esetben nem lehetséges azonnali ügyintézés.</w:t>
      </w:r>
    </w:p>
    <w:p w:rsidR="004B22AA" w:rsidRPr="000C2310" w:rsidRDefault="004B22AA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4B22AA" w:rsidRPr="000C2310" w:rsidRDefault="00C63DB1">
      <w:pPr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0C2310">
        <w:rPr>
          <w:rFonts w:ascii="Arial" w:hAnsi="Arial" w:cs="Arial"/>
          <w:b/>
          <w:sz w:val="22"/>
          <w:szCs w:val="22"/>
          <w:lang w:val="hu-HU"/>
        </w:rPr>
        <w:t>Mennyi a fizetendő közműfejlesztés mértéke?</w:t>
      </w:r>
    </w:p>
    <w:p w:rsidR="004B22AA" w:rsidRPr="000C2310" w:rsidRDefault="00C63DB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 xml:space="preserve">A víziközmű-fejlesztési hozzájárulás mértéke az igényelt víziközmű-szolgáltatáshoz szükséges fejlesztés költségeinek arányos része. </w:t>
      </w:r>
      <w:r w:rsidR="00ED4C0E" w:rsidRPr="000C2310">
        <w:rPr>
          <w:rFonts w:ascii="Arial" w:hAnsi="Arial" w:cs="Arial"/>
          <w:sz w:val="22"/>
          <w:szCs w:val="22"/>
          <w:lang w:val="hu-HU"/>
        </w:rPr>
        <w:t xml:space="preserve">A víziközmű-fejlesztési hozzájárulást a közműves ivóvízellátás és a közműves szennyvízelvezetés és tisztítás tekintetében külön kell megállapítani és megfizetni. </w:t>
      </w:r>
      <w:r w:rsidRPr="000C2310">
        <w:rPr>
          <w:rFonts w:ascii="Arial" w:hAnsi="Arial" w:cs="Arial"/>
          <w:sz w:val="22"/>
          <w:szCs w:val="22"/>
          <w:lang w:val="hu-HU"/>
        </w:rPr>
        <w:t>A víziközmű-fejlesztési hozzájárulás mértékét a Hivatal elnöke rendeletben állapítja meg. Az érvényes díjakat a Szolgáltató hatályos Díjjegyzéke tartalmazza.</w:t>
      </w:r>
    </w:p>
    <w:p w:rsidR="004B22AA" w:rsidRPr="000C2310" w:rsidRDefault="004B22AA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4B22AA" w:rsidRPr="000C2310" w:rsidRDefault="00C63DB1">
      <w:pPr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0C2310">
        <w:rPr>
          <w:rFonts w:ascii="Arial" w:hAnsi="Arial" w:cs="Arial"/>
          <w:b/>
          <w:sz w:val="22"/>
          <w:szCs w:val="22"/>
          <w:lang w:val="hu-HU"/>
        </w:rPr>
        <w:t>A felhasználási helyhez, ingatlanhoz, vagy a felhasználó személyéhez kapcsolható-e a kvóta, átruházható e más felhasználóra, vagy más felhasználási helyre?</w:t>
      </w:r>
    </w:p>
    <w:p w:rsidR="004B22AA" w:rsidRPr="000C2310" w:rsidRDefault="00C63DB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>A fizetésre kötelezett felhasználó a Törvény 71. §</w:t>
      </w:r>
      <w:proofErr w:type="spellStart"/>
      <w:r w:rsidRPr="000C2310">
        <w:rPr>
          <w:rFonts w:ascii="Arial" w:hAnsi="Arial" w:cs="Arial"/>
          <w:sz w:val="22"/>
          <w:szCs w:val="22"/>
          <w:lang w:val="hu-HU"/>
        </w:rPr>
        <w:t>-a</w:t>
      </w:r>
      <w:proofErr w:type="spellEnd"/>
      <w:r w:rsidRPr="000C2310">
        <w:rPr>
          <w:rFonts w:ascii="Arial" w:hAnsi="Arial" w:cs="Arial"/>
          <w:sz w:val="22"/>
          <w:szCs w:val="22"/>
          <w:lang w:val="hu-HU"/>
        </w:rPr>
        <w:t xml:space="preserve"> szerint az adott felhasználási helyen válik jogosulttá a szolgáltatás igénybe vételére.</w:t>
      </w:r>
    </w:p>
    <w:p w:rsidR="004B22AA" w:rsidRPr="000C2310" w:rsidRDefault="00C63DB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>Amennyiben a felhasználási hely, ingatlan tulajdonost vált, vagy a vízhasználó személye változik az új felhasználó számára a korábban jogosultságot szerzett, a jogosultságát átruházhatja.</w:t>
      </w:r>
    </w:p>
    <w:p w:rsidR="004B22AA" w:rsidRPr="000C2310" w:rsidRDefault="00C63DB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 xml:space="preserve">A jogosult az adott települési közüzemi ivóvíz ellátó és szennyvíz elvezető rendszerén belül egyik felhasználási helyről a másik felhasználási helyre a jogosultság átvitelét kezdeményezheti, amelyhez a kapacitások biztosítása, vizsgálata miatt a közüzemű rendszer működtetőjének (Debreceni Vízmű </w:t>
      </w:r>
      <w:proofErr w:type="spellStart"/>
      <w:r w:rsidRPr="000C2310">
        <w:rPr>
          <w:rFonts w:ascii="Arial" w:hAnsi="Arial" w:cs="Arial"/>
          <w:sz w:val="22"/>
          <w:szCs w:val="22"/>
          <w:lang w:val="hu-HU"/>
        </w:rPr>
        <w:t>Zrt</w:t>
      </w:r>
      <w:proofErr w:type="spellEnd"/>
      <w:r w:rsidRPr="000C2310">
        <w:rPr>
          <w:rFonts w:ascii="Arial" w:hAnsi="Arial" w:cs="Arial"/>
          <w:sz w:val="22"/>
          <w:szCs w:val="22"/>
          <w:lang w:val="hu-HU"/>
        </w:rPr>
        <w:t>.) hozzájárulása szükséges.</w:t>
      </w:r>
    </w:p>
    <w:p w:rsidR="004B22AA" w:rsidRPr="000C2310" w:rsidRDefault="00C63DB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>Mindkét esetben víziközmű-fejlesztési megállapodásban kell rögzíteni a kvótával kapcsolatos jogokat, adatokat.</w:t>
      </w:r>
    </w:p>
    <w:p w:rsidR="004B22AA" w:rsidRPr="000C2310" w:rsidRDefault="00C63DB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>A felhasználó személyében történő változást formanyomtatvány kitöltésével lehet bejelenteni, illetve a kvóta átadást vagy áthelyezést külön megállapodásban kell rögzíteni. A kvóta csak településen belül helyezhető át és az ivóvíz, valamint szennyvíz kapacitások között nem átválthatóak.</w:t>
      </w:r>
    </w:p>
    <w:p w:rsidR="004B22AA" w:rsidRPr="000C2310" w:rsidRDefault="004B22AA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4B22AA" w:rsidRPr="000C2310" w:rsidRDefault="00C63DB1">
      <w:pPr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0C2310">
        <w:rPr>
          <w:rFonts w:ascii="Arial" w:hAnsi="Arial" w:cs="Arial"/>
          <w:b/>
          <w:sz w:val="22"/>
          <w:szCs w:val="22"/>
          <w:lang w:val="hu-HU"/>
        </w:rPr>
        <w:t>Hogyan lehet a fejlesztési kötelezettségek fizetését teljesíteni?</w:t>
      </w:r>
    </w:p>
    <w:p w:rsidR="004B22AA" w:rsidRPr="000C2310" w:rsidRDefault="00C63DB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 xml:space="preserve">A felhasználó, vagy megbízottja által igényelt, igazolt mennyiségek, összegek, a Debreceni Vízmű </w:t>
      </w:r>
      <w:proofErr w:type="spellStart"/>
      <w:r w:rsidRPr="000C2310">
        <w:rPr>
          <w:rFonts w:ascii="Arial" w:hAnsi="Arial" w:cs="Arial"/>
          <w:sz w:val="22"/>
          <w:szCs w:val="22"/>
          <w:lang w:val="hu-HU"/>
        </w:rPr>
        <w:t>Zrt</w:t>
      </w:r>
      <w:proofErr w:type="spellEnd"/>
      <w:r w:rsidRPr="000C2310">
        <w:rPr>
          <w:rFonts w:ascii="Arial" w:hAnsi="Arial" w:cs="Arial"/>
          <w:sz w:val="22"/>
          <w:szCs w:val="22"/>
          <w:lang w:val="hu-HU"/>
        </w:rPr>
        <w:t xml:space="preserve">. pénztárában teljesíthetőek. A befizetéskor víziközmű-fejlesztési hozzájárulási megállapodást is kell kötnie az igénylőnek, felhasználónak. </w:t>
      </w:r>
    </w:p>
    <w:p w:rsidR="004B22AA" w:rsidRPr="000C2310" w:rsidRDefault="00C63DB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>A fizetési kötelezettséget egyedi esetben (nagy összegű váltott kvóta esetén) a fejlesztési hozzájárulásra vonatkozó megállapodás megkötése után átutalással is van módja teljesíteni.</w:t>
      </w:r>
    </w:p>
    <w:p w:rsidR="004B22AA" w:rsidRPr="000C2310" w:rsidRDefault="004B22AA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4B22AA" w:rsidRPr="000C2310" w:rsidRDefault="00C63DB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b/>
          <w:sz w:val="22"/>
          <w:szCs w:val="22"/>
          <w:lang w:val="hu-HU"/>
        </w:rPr>
        <w:t>Miért fontos, miért áll érdekében a felhasználónak a vízi közmű fejlesztési hozzájárulás megfizetése és a megállapodás megőrzése?</w:t>
      </w:r>
    </w:p>
    <w:p w:rsidR="004B22AA" w:rsidRPr="000C2310" w:rsidRDefault="00C63DB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>A megfizetés</w:t>
      </w:r>
      <w:r w:rsidR="00984A56" w:rsidRPr="000C2310">
        <w:rPr>
          <w:rFonts w:ascii="Arial" w:hAnsi="Arial" w:cs="Arial"/>
          <w:sz w:val="22"/>
          <w:szCs w:val="22"/>
          <w:lang w:val="hu-HU"/>
        </w:rPr>
        <w:t xml:space="preserve"> elmaradása</w:t>
      </w:r>
      <w:r w:rsidRPr="000C2310">
        <w:rPr>
          <w:rFonts w:ascii="Arial" w:hAnsi="Arial" w:cs="Arial"/>
          <w:sz w:val="22"/>
          <w:szCs w:val="22"/>
          <w:lang w:val="hu-HU"/>
        </w:rPr>
        <w:t xml:space="preserve"> vagy átadás-átvétel nélküli jogosulatlan vízhasználat esetén a víziközmű-szolgáltatáshoz kapcsolódó hatósági eljárásokhoz nyilatkozatot a szolgáltatónak nem áll módjában kiadni, a vízfogyasztó</w:t>
      </w:r>
      <w:r w:rsidR="00AC4322" w:rsidRPr="000C2310">
        <w:rPr>
          <w:rFonts w:ascii="Arial" w:hAnsi="Arial" w:cs="Arial"/>
          <w:sz w:val="22"/>
          <w:szCs w:val="22"/>
          <w:lang w:val="hu-HU"/>
        </w:rPr>
        <w:t xml:space="preserve"> </w:t>
      </w:r>
      <w:r w:rsidRPr="000C2310">
        <w:rPr>
          <w:rFonts w:ascii="Arial" w:hAnsi="Arial" w:cs="Arial"/>
          <w:sz w:val="22"/>
          <w:szCs w:val="22"/>
          <w:lang w:val="hu-HU"/>
        </w:rPr>
        <w:t>személyében történő változást átvezetni (vízfogyasztás mérőt átírni).</w:t>
      </w:r>
    </w:p>
    <w:p w:rsidR="004B22AA" w:rsidRPr="000C2310" w:rsidRDefault="00C63DB1">
      <w:pPr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>A szolgáltató a megvásárolt víziközmű-fejlesztési kvótát összevetheti, ellenőrizheti</w:t>
      </w:r>
      <w:r w:rsidR="00D8449D" w:rsidRPr="000C2310">
        <w:rPr>
          <w:rFonts w:ascii="Arial" w:hAnsi="Arial" w:cs="Arial"/>
          <w:sz w:val="22"/>
          <w:szCs w:val="22"/>
          <w:lang w:val="hu-HU"/>
        </w:rPr>
        <w:t>, ellenőrzi</w:t>
      </w:r>
      <w:r w:rsidRPr="000C2310">
        <w:rPr>
          <w:rFonts w:ascii="Arial" w:hAnsi="Arial" w:cs="Arial"/>
          <w:sz w:val="22"/>
          <w:szCs w:val="22"/>
          <w:lang w:val="hu-HU"/>
        </w:rPr>
        <w:t xml:space="preserve"> a felhasznált, számlákban leszámlázott víz és szennyvíz mennyiségi adatokkal és felszólíthatja a Felhasználót a különbözet megfizetésére. </w:t>
      </w:r>
    </w:p>
    <w:p w:rsidR="004B22AA" w:rsidRPr="000C2310" w:rsidRDefault="00C63DB1" w:rsidP="000C2310">
      <w:pPr>
        <w:spacing w:after="240"/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 xml:space="preserve">Felhívjuk figyelmüket, hogy a kvótaszerzésre kötelezett, nem lakossági Felhasználó szabálytalan közműhasználatot követ el, amennyiben nem fizeti meg az igényelt mértékű kvótához, vagy annak túllépéséhez kapcsolódó víziközmű-fejlesztési hozzájárulás díját a rendeltetésszerű kvóta használat megkezdése előtt. Kvóta megfizetésének bizonylatával tudja igazolni a későbbiekben a szolgáltatás igénybe vételének jogosultságát. Kérjük, a befizetés teljesítését igazoló bizonylat, valamint a megállapodás megőrzését a további kvótával kapcsolatos ügyintézés (átadás, áthelyezés, </w:t>
      </w:r>
      <w:proofErr w:type="spellStart"/>
      <w:r w:rsidRPr="000C2310">
        <w:rPr>
          <w:rFonts w:ascii="Arial" w:hAnsi="Arial" w:cs="Arial"/>
          <w:sz w:val="22"/>
          <w:szCs w:val="22"/>
          <w:lang w:val="hu-HU"/>
        </w:rPr>
        <w:t>stb</w:t>
      </w:r>
      <w:proofErr w:type="spellEnd"/>
      <w:r w:rsidRPr="000C2310">
        <w:rPr>
          <w:rFonts w:ascii="Arial" w:hAnsi="Arial" w:cs="Arial"/>
          <w:sz w:val="22"/>
          <w:szCs w:val="22"/>
          <w:lang w:val="hu-HU"/>
        </w:rPr>
        <w:t>) érdekében!</w:t>
      </w:r>
    </w:p>
    <w:p w:rsidR="004B22AA" w:rsidRPr="000C2310" w:rsidRDefault="00C63DB1" w:rsidP="000C2310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0C2310">
        <w:rPr>
          <w:rFonts w:ascii="Arial" w:hAnsi="Arial" w:cs="Arial"/>
          <w:sz w:val="22"/>
          <w:szCs w:val="22"/>
          <w:lang w:val="hu-HU"/>
        </w:rPr>
        <w:t>Debrecen, 2018. március hó</w:t>
      </w:r>
      <w:r w:rsidR="00DB6B0B" w:rsidRPr="000C2310">
        <w:rPr>
          <w:rFonts w:ascii="Arial" w:hAnsi="Arial" w:cs="Arial"/>
          <w:sz w:val="22"/>
          <w:szCs w:val="22"/>
        </w:rPr>
        <w:tab/>
      </w:r>
      <w:r w:rsidR="00DB6B0B" w:rsidRPr="000C2310">
        <w:rPr>
          <w:rFonts w:ascii="Arial" w:hAnsi="Arial" w:cs="Arial"/>
          <w:sz w:val="22"/>
          <w:szCs w:val="22"/>
        </w:rPr>
        <w:tab/>
      </w:r>
    </w:p>
    <w:p w:rsidR="007913CE" w:rsidRPr="000C2310" w:rsidRDefault="000C2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DB6B0B" w:rsidRPr="000C2310">
        <w:rPr>
          <w:rFonts w:ascii="Arial" w:hAnsi="Arial" w:cs="Arial"/>
          <w:sz w:val="22"/>
          <w:szCs w:val="22"/>
        </w:rPr>
        <w:t xml:space="preserve">Debreceni Vízmű </w:t>
      </w:r>
      <w:proofErr w:type="spellStart"/>
      <w:r w:rsidR="00DB6B0B" w:rsidRPr="000C2310">
        <w:rPr>
          <w:rFonts w:ascii="Arial" w:hAnsi="Arial" w:cs="Arial"/>
          <w:sz w:val="22"/>
          <w:szCs w:val="22"/>
        </w:rPr>
        <w:t>Zrt</w:t>
      </w:r>
      <w:proofErr w:type="spellEnd"/>
      <w:r w:rsidR="00DB6B0B" w:rsidRPr="000C2310">
        <w:rPr>
          <w:rFonts w:ascii="Arial" w:hAnsi="Arial" w:cs="Arial"/>
          <w:sz w:val="22"/>
          <w:szCs w:val="22"/>
        </w:rPr>
        <w:t>.</w:t>
      </w:r>
      <w:proofErr w:type="gramEnd"/>
    </w:p>
    <w:sectPr w:rsidR="007913CE" w:rsidRPr="000C2310" w:rsidSect="000C2310">
      <w:headerReference w:type="default" r:id="rId8"/>
      <w:footerReference w:type="default" r:id="rId9"/>
      <w:pgSz w:w="11906" w:h="16838"/>
      <w:pgMar w:top="284" w:right="707" w:bottom="284" w:left="709" w:header="57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D8DA81" w15:done="0"/>
  <w15:commentEx w15:paraId="6A1A1278" w15:done="0"/>
  <w15:commentEx w15:paraId="6571A1E4" w15:done="0"/>
  <w15:commentEx w15:paraId="0731E369" w15:done="0"/>
  <w15:commentEx w15:paraId="48B74F49" w15:done="0"/>
  <w15:commentEx w15:paraId="676C445D" w15:done="0"/>
  <w15:commentEx w15:paraId="1FEDE8F2" w15:done="0"/>
  <w15:commentEx w15:paraId="050E4F6E" w15:done="0"/>
  <w15:commentEx w15:paraId="1109D5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B1" w:rsidRDefault="00361DB1" w:rsidP="004C0131">
      <w:r>
        <w:separator/>
      </w:r>
    </w:p>
  </w:endnote>
  <w:endnote w:type="continuationSeparator" w:id="0">
    <w:p w:rsidR="00361DB1" w:rsidRDefault="00361DB1" w:rsidP="004C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655534"/>
      <w:docPartObj>
        <w:docPartGallery w:val="Page Numbers (Bottom of Page)"/>
        <w:docPartUnique/>
      </w:docPartObj>
    </w:sdtPr>
    <w:sdtEndPr/>
    <w:sdtContent>
      <w:sdt>
        <w:sdtPr>
          <w:id w:val="1431489295"/>
          <w:docPartObj>
            <w:docPartGallery w:val="Page Numbers (Top of Page)"/>
            <w:docPartUnique/>
          </w:docPartObj>
        </w:sdtPr>
        <w:sdtEndPr/>
        <w:sdtContent>
          <w:p w:rsidR="000C2310" w:rsidRDefault="000C2310">
            <w:pPr>
              <w:pStyle w:val="llb"/>
              <w:jc w:val="center"/>
            </w:pPr>
            <w:r>
              <w:ptab w:relativeTo="margin" w:alignment="right" w:leader="none"/>
            </w:r>
            <w:proofErr w:type="spellStart"/>
            <w:r>
              <w:t>Oldal</w:t>
            </w:r>
            <w:proofErr w:type="spellEnd"/>
            <w:r>
              <w:t xml:space="preserve">: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60B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60B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2310" w:rsidRDefault="000C23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B1" w:rsidRDefault="00361DB1" w:rsidP="004C0131">
      <w:r>
        <w:separator/>
      </w:r>
    </w:p>
  </w:footnote>
  <w:footnote w:type="continuationSeparator" w:id="0">
    <w:p w:rsidR="00361DB1" w:rsidRDefault="00361DB1" w:rsidP="004C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4A" w:rsidRDefault="0059594A">
    <w:pPr>
      <w:pStyle w:val="lfej"/>
    </w:pPr>
    <w:r>
      <w:rPr>
        <w:noProof/>
        <w:lang w:val="hu-HU"/>
      </w:rPr>
      <w:drawing>
        <wp:inline distT="0" distB="0" distL="0" distR="0">
          <wp:extent cx="1013878" cy="432000"/>
          <wp:effectExtent l="19050" t="0" r="0" b="0"/>
          <wp:docPr id="4" name="Kép 3" descr="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387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94A" w:rsidRDefault="0059594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6C9D"/>
    <w:multiLevelType w:val="hybridMultilevel"/>
    <w:tmpl w:val="BEBA7926"/>
    <w:lvl w:ilvl="0" w:tplc="9618B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11765"/>
    <w:multiLevelType w:val="hybridMultilevel"/>
    <w:tmpl w:val="EA3C7EF2"/>
    <w:lvl w:ilvl="0" w:tplc="9618BC6A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eczné Eszterhai Valéria">
    <w15:presenceInfo w15:providerId="AD" w15:userId="S-1-5-21-3979898194-1068153528-664953705-2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9D"/>
    <w:rsid w:val="00022CD7"/>
    <w:rsid w:val="00044CD7"/>
    <w:rsid w:val="000C2310"/>
    <w:rsid w:val="000D497D"/>
    <w:rsid w:val="001176C0"/>
    <w:rsid w:val="00133FFA"/>
    <w:rsid w:val="00146DB3"/>
    <w:rsid w:val="00147368"/>
    <w:rsid w:val="001676D4"/>
    <w:rsid w:val="001917D0"/>
    <w:rsid w:val="00193DE2"/>
    <w:rsid w:val="001C5C01"/>
    <w:rsid w:val="001E1C7C"/>
    <w:rsid w:val="001F73DE"/>
    <w:rsid w:val="00234FF1"/>
    <w:rsid w:val="0027464C"/>
    <w:rsid w:val="002B0E90"/>
    <w:rsid w:val="002B562D"/>
    <w:rsid w:val="002D2705"/>
    <w:rsid w:val="00302525"/>
    <w:rsid w:val="00352C2F"/>
    <w:rsid w:val="00361DB1"/>
    <w:rsid w:val="00406B92"/>
    <w:rsid w:val="00460936"/>
    <w:rsid w:val="004A5864"/>
    <w:rsid w:val="004B22AA"/>
    <w:rsid w:val="004C0131"/>
    <w:rsid w:val="004E1C9A"/>
    <w:rsid w:val="00506E19"/>
    <w:rsid w:val="0059594A"/>
    <w:rsid w:val="005D2FE3"/>
    <w:rsid w:val="00602266"/>
    <w:rsid w:val="00647E5C"/>
    <w:rsid w:val="0065391F"/>
    <w:rsid w:val="00676352"/>
    <w:rsid w:val="006E0AEA"/>
    <w:rsid w:val="00716E08"/>
    <w:rsid w:val="00752295"/>
    <w:rsid w:val="007544CE"/>
    <w:rsid w:val="007913CE"/>
    <w:rsid w:val="007B179D"/>
    <w:rsid w:val="007C3C8E"/>
    <w:rsid w:val="007E3570"/>
    <w:rsid w:val="007F22E3"/>
    <w:rsid w:val="00806456"/>
    <w:rsid w:val="00831562"/>
    <w:rsid w:val="00897EB9"/>
    <w:rsid w:val="008E2B6D"/>
    <w:rsid w:val="008F03BC"/>
    <w:rsid w:val="009160BD"/>
    <w:rsid w:val="00953D98"/>
    <w:rsid w:val="00972551"/>
    <w:rsid w:val="00980816"/>
    <w:rsid w:val="00984A56"/>
    <w:rsid w:val="009C7AC4"/>
    <w:rsid w:val="009E1E44"/>
    <w:rsid w:val="009E5890"/>
    <w:rsid w:val="00A86374"/>
    <w:rsid w:val="00AB53CF"/>
    <w:rsid w:val="00AC4322"/>
    <w:rsid w:val="00AC4F37"/>
    <w:rsid w:val="00AD39D0"/>
    <w:rsid w:val="00B840BE"/>
    <w:rsid w:val="00BC65A7"/>
    <w:rsid w:val="00C439FD"/>
    <w:rsid w:val="00C63DB1"/>
    <w:rsid w:val="00D8449D"/>
    <w:rsid w:val="00D908BD"/>
    <w:rsid w:val="00DB6B0B"/>
    <w:rsid w:val="00DD5EAF"/>
    <w:rsid w:val="00E26A9D"/>
    <w:rsid w:val="00E56777"/>
    <w:rsid w:val="00E72A40"/>
    <w:rsid w:val="00ED2E94"/>
    <w:rsid w:val="00ED4C0E"/>
    <w:rsid w:val="00EE483B"/>
    <w:rsid w:val="00F119AA"/>
    <w:rsid w:val="00F27C0C"/>
    <w:rsid w:val="00F4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6A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22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295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Default">
    <w:name w:val="Default"/>
    <w:rsid w:val="0075229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F2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D49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497D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497D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49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497D"/>
    <w:rPr>
      <w:rFonts w:ascii="Times New Roman" w:eastAsia="Times New Roman" w:hAnsi="Times New Roman" w:cs="Times New Roman"/>
      <w:b/>
      <w:bCs/>
      <w:sz w:val="20"/>
      <w:szCs w:val="20"/>
      <w:lang w:val="en-US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4F3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C4F37"/>
    <w:pPr>
      <w:overflowPunct/>
      <w:autoSpaceDE/>
      <w:autoSpaceDN/>
      <w:adjustRightInd/>
      <w:spacing w:after="20"/>
      <w:ind w:firstLine="180"/>
      <w:jc w:val="both"/>
    </w:pPr>
    <w:rPr>
      <w:sz w:val="24"/>
      <w:szCs w:val="24"/>
      <w:lang w:val="hu-HU"/>
    </w:rPr>
  </w:style>
  <w:style w:type="paragraph" w:styleId="Listaszerbekezds">
    <w:name w:val="List Paragraph"/>
    <w:basedOn w:val="Norml"/>
    <w:uiPriority w:val="34"/>
    <w:qFormat/>
    <w:rsid w:val="00D908B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C01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0131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4C01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0131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6A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22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295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Default">
    <w:name w:val="Default"/>
    <w:rsid w:val="0075229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F2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D49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497D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497D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49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497D"/>
    <w:rPr>
      <w:rFonts w:ascii="Times New Roman" w:eastAsia="Times New Roman" w:hAnsi="Times New Roman" w:cs="Times New Roman"/>
      <w:b/>
      <w:bCs/>
      <w:sz w:val="20"/>
      <w:szCs w:val="20"/>
      <w:lang w:val="en-US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4F3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C4F37"/>
    <w:pPr>
      <w:overflowPunct/>
      <w:autoSpaceDE/>
      <w:autoSpaceDN/>
      <w:adjustRightInd/>
      <w:spacing w:after="20"/>
      <w:ind w:firstLine="180"/>
      <w:jc w:val="both"/>
    </w:pPr>
    <w:rPr>
      <w:sz w:val="24"/>
      <w:szCs w:val="24"/>
      <w:lang w:val="hu-HU"/>
    </w:rPr>
  </w:style>
  <w:style w:type="paragraph" w:styleId="Listaszerbekezds">
    <w:name w:val="List Paragraph"/>
    <w:basedOn w:val="Norml"/>
    <w:uiPriority w:val="34"/>
    <w:qFormat/>
    <w:rsid w:val="00D908B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C01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0131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4C01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0131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kutine</dc:creator>
  <cp:lastModifiedBy>asztaine</cp:lastModifiedBy>
  <cp:revision>2</cp:revision>
  <dcterms:created xsi:type="dcterms:W3CDTF">2020-01-20T10:37:00Z</dcterms:created>
  <dcterms:modified xsi:type="dcterms:W3CDTF">2020-01-20T10:37:00Z</dcterms:modified>
</cp:coreProperties>
</file>